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2A7D98" w14:textId="6620DAB8" w:rsidR="008A7B20" w:rsidRPr="000718DE" w:rsidRDefault="00355F02" w:rsidP="00355F02">
      <w:pPr>
        <w:jc w:val="center"/>
        <w:rPr>
          <w:rFonts w:ascii="Times New Roman" w:hAnsi="Times New Roman" w:cs="Times New Roman"/>
          <w:b/>
          <w:color w:val="060A26"/>
          <w:sz w:val="24"/>
          <w:szCs w:val="24"/>
          <w:shd w:val="clear" w:color="auto" w:fill="FFFFFF"/>
        </w:rPr>
      </w:pPr>
      <w:r w:rsidRPr="000718DE">
        <w:rPr>
          <w:rFonts w:ascii="Times New Roman" w:hAnsi="Times New Roman" w:cs="Times New Roman"/>
          <w:b/>
          <w:color w:val="060A26"/>
          <w:sz w:val="24"/>
          <w:szCs w:val="24"/>
          <w:shd w:val="clear" w:color="auto" w:fill="FFFFFF"/>
        </w:rPr>
        <w:t>Supplementary Material</w:t>
      </w:r>
    </w:p>
    <w:p w14:paraId="1573B3F7" w14:textId="77777777" w:rsidR="00355F02" w:rsidRPr="000718DE" w:rsidRDefault="00355F02" w:rsidP="00355F02">
      <w:pPr>
        <w:jc w:val="center"/>
        <w:rPr>
          <w:rFonts w:ascii="Times New Roman" w:hAnsi="Times New Roman" w:cs="Times New Roman" w:hint="eastAsia"/>
          <w:color w:val="060A26"/>
          <w:szCs w:val="21"/>
          <w:shd w:val="clear" w:color="auto" w:fill="FFFFFF"/>
        </w:rPr>
      </w:pPr>
      <w:bookmarkStart w:id="0" w:name="_GoBack"/>
      <w:bookmarkEnd w:id="0"/>
    </w:p>
    <w:p w14:paraId="79E86234" w14:textId="77777777" w:rsidR="00355F02" w:rsidRPr="000718DE" w:rsidRDefault="00355F02" w:rsidP="00355F02">
      <w:pPr>
        <w:widowControl/>
        <w:spacing w:line="360" w:lineRule="auto"/>
        <w:jc w:val="center"/>
        <w:outlineLvl w:val="1"/>
        <w:rPr>
          <w:rFonts w:ascii="Times New Roman" w:eastAsia="宋体" w:hAnsi="Times New Roman" w:cs="Times New Roman"/>
          <w:b/>
          <w:bCs/>
          <w:kern w:val="0"/>
          <w:szCs w:val="21"/>
        </w:rPr>
      </w:pPr>
      <w:r w:rsidRPr="000718DE">
        <w:rPr>
          <w:rFonts w:ascii="Times New Roman" w:eastAsia="宋体" w:hAnsi="Times New Roman" w:cs="Times New Roman"/>
          <w:b/>
          <w:bCs/>
          <w:kern w:val="0"/>
          <w:szCs w:val="21"/>
        </w:rPr>
        <w:t>Supplementary Table 1. Tumor growth inhibition (TGI) in the xenograft study</w:t>
      </w:r>
    </w:p>
    <w:tbl>
      <w:tblPr>
        <w:tblW w:w="8355" w:type="dxa"/>
        <w:jc w:val="center"/>
        <w:tblCellSpacing w:w="15" w:type="dxa"/>
        <w:tblBorders>
          <w:top w:val="single" w:sz="12" w:space="0" w:color="auto"/>
          <w:bottom w:val="single" w:sz="12" w:space="0" w:color="auto"/>
        </w:tblBorders>
        <w:tblLook w:val="04A0" w:firstRow="1" w:lastRow="0" w:firstColumn="1" w:lastColumn="0" w:noHBand="0" w:noVBand="1"/>
      </w:tblPr>
      <w:tblGrid>
        <w:gridCol w:w="3687"/>
        <w:gridCol w:w="1349"/>
        <w:gridCol w:w="793"/>
        <w:gridCol w:w="661"/>
        <w:gridCol w:w="793"/>
        <w:gridCol w:w="1072"/>
      </w:tblGrid>
      <w:tr w:rsidR="00355F02" w:rsidRPr="000718DE" w14:paraId="4D057EA1" w14:textId="77777777" w:rsidTr="00355F02">
        <w:trPr>
          <w:trHeight w:val="330"/>
          <w:tblHeader/>
          <w:tblCellSpacing w:w="15" w:type="dxa"/>
          <w:jc w:val="center"/>
        </w:trPr>
        <w:tc>
          <w:tcPr>
            <w:tcW w:w="3642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0C4FD0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  <w:t>Comparison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A5EC031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  <w:t>C0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0000BA4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  <w:t>Ct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CCB6560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  <w:t>T0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1FCE2B4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  <w:t>Tt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D91CA2A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b/>
                <w:bCs/>
                <w:kern w:val="0"/>
                <w:szCs w:val="21"/>
              </w:rPr>
              <w:t>TGI (%)</w:t>
            </w:r>
          </w:p>
        </w:tc>
      </w:tr>
      <w:tr w:rsidR="00355F02" w:rsidRPr="000718DE" w14:paraId="4EF5F56C" w14:textId="77777777" w:rsidTr="00355F02">
        <w:trPr>
          <w:trHeight w:val="330"/>
          <w:tblCellSpacing w:w="15" w:type="dxa"/>
          <w:jc w:val="center"/>
        </w:trPr>
        <w:tc>
          <w:tcPr>
            <w:tcW w:w="364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D7CA5E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si-NC + DDP vs si-NC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F7B56DB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12.74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9C0002D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875.29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5D3987D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11.30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18DBA97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394.52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53C221F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55.57</w:t>
            </w:r>
          </w:p>
        </w:tc>
      </w:tr>
      <w:tr w:rsidR="00355F02" w:rsidRPr="000718DE" w14:paraId="2C88A13C" w14:textId="77777777" w:rsidTr="00355F02">
        <w:trPr>
          <w:trHeight w:val="330"/>
          <w:tblCellSpacing w:w="15" w:type="dxa"/>
          <w:jc w:val="center"/>
        </w:trPr>
        <w:tc>
          <w:tcPr>
            <w:tcW w:w="364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CD51B3B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si-circCDK6 #1 + DDP vs si-NC + DDP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6828EF6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11.30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9B335C0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394.52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B220467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8.69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30FD4CA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77.75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162F61D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81.98</w:t>
            </w:r>
          </w:p>
        </w:tc>
      </w:tr>
      <w:tr w:rsidR="00355F02" w:rsidRPr="000718DE" w14:paraId="2E7B80DA" w14:textId="77777777" w:rsidTr="00355F02">
        <w:trPr>
          <w:trHeight w:val="330"/>
          <w:tblCellSpacing w:w="15" w:type="dxa"/>
          <w:jc w:val="center"/>
        </w:trPr>
        <w:tc>
          <w:tcPr>
            <w:tcW w:w="364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09E4774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si-circCDK6 #1 + DDP vs si-NC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327D9A6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12.74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AD58B19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875.29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D461718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8.69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F0EBD5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77.75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9940473" w14:textId="77777777" w:rsidR="00355F02" w:rsidRPr="000718DE" w:rsidRDefault="00355F02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0718DE">
              <w:rPr>
                <w:rFonts w:ascii="Times New Roman" w:eastAsia="宋体" w:hAnsi="Times New Roman" w:cs="Times New Roman"/>
                <w:kern w:val="0"/>
                <w:szCs w:val="21"/>
              </w:rPr>
              <w:t>91.99</w:t>
            </w:r>
          </w:p>
        </w:tc>
      </w:tr>
    </w:tbl>
    <w:p w14:paraId="530AF333" w14:textId="12CBCC85" w:rsidR="00355F02" w:rsidRPr="000718DE" w:rsidRDefault="00355F02" w:rsidP="00355F02">
      <w:pPr>
        <w:widowControl/>
        <w:spacing w:line="360" w:lineRule="auto"/>
        <w:jc w:val="left"/>
        <w:rPr>
          <w:rFonts w:ascii="Times New Roman" w:eastAsia="宋体" w:hAnsi="Times New Roman" w:cs="Times New Roman"/>
          <w:bCs/>
          <w:kern w:val="0"/>
          <w:szCs w:val="21"/>
        </w:rPr>
      </w:pPr>
      <w:r w:rsidRPr="000718DE">
        <w:rPr>
          <w:rFonts w:ascii="Times New Roman" w:eastAsia="宋体" w:hAnsi="Times New Roman" w:cs="Times New Roman"/>
          <w:bCs/>
          <w:kern w:val="0"/>
          <w:szCs w:val="21"/>
        </w:rPr>
        <w:t>Note: TGI was calculated as TGI (%) = [1 − (Tt − T0)/(Ct − C0)] × 100, where T0/Tt and C0/Ct represent the mean tumor volumes of the treatment and reference control groups at baseline (week 1) and endpoint (week 4), respectively.</w:t>
      </w:r>
    </w:p>
    <w:p w14:paraId="2F71D03A" w14:textId="3C4E069B" w:rsidR="00355F02" w:rsidRPr="000718DE" w:rsidRDefault="00355F02" w:rsidP="00355F02">
      <w:pPr>
        <w:widowControl/>
        <w:spacing w:line="360" w:lineRule="auto"/>
        <w:jc w:val="left"/>
        <w:rPr>
          <w:rFonts w:ascii="Times New Roman" w:eastAsia="宋体" w:hAnsi="Times New Roman" w:cs="Times New Roman"/>
          <w:bCs/>
          <w:kern w:val="0"/>
          <w:szCs w:val="21"/>
        </w:rPr>
      </w:pPr>
    </w:p>
    <w:p w14:paraId="4CD51E1B" w14:textId="641440F3" w:rsidR="00355F02" w:rsidRPr="000718DE" w:rsidRDefault="00355F02" w:rsidP="000718DE">
      <w:pPr>
        <w:widowControl/>
        <w:spacing w:line="360" w:lineRule="auto"/>
        <w:jc w:val="center"/>
        <w:rPr>
          <w:rFonts w:ascii="Times New Roman" w:eastAsia="宋体" w:hAnsi="Times New Roman" w:cs="Times New Roman" w:hint="eastAsia"/>
          <w:bCs/>
          <w:kern w:val="0"/>
          <w:szCs w:val="21"/>
        </w:rPr>
      </w:pPr>
      <w:r w:rsidRPr="000718DE">
        <w:rPr>
          <w:rFonts w:ascii="Times New Roman" w:eastAsia="宋体" w:hAnsi="Times New Roman" w:cs="Times New Roman" w:hint="eastAsia"/>
          <w:bCs/>
          <w:noProof/>
          <w:kern w:val="0"/>
          <w:szCs w:val="21"/>
        </w:rPr>
        <w:drawing>
          <wp:inline distT="0" distB="0" distL="0" distR="0" wp14:anchorId="6E4808EC" wp14:editId="77CE6FA3">
            <wp:extent cx="5274310" cy="257556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lementary Figure 1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5AEF9" w14:textId="77777777" w:rsidR="00355F02" w:rsidRPr="000718DE" w:rsidRDefault="00355F02" w:rsidP="00355F02">
      <w:pPr>
        <w:spacing w:line="480" w:lineRule="auto"/>
        <w:rPr>
          <w:rFonts w:ascii="Times New Roman" w:hAnsi="Times New Roman" w:cs="Times New Roman"/>
          <w:b/>
          <w:color w:val="000000"/>
          <w:szCs w:val="21"/>
        </w:rPr>
      </w:pPr>
      <w:r w:rsidRPr="000718DE">
        <w:rPr>
          <w:rFonts w:ascii="Times New Roman" w:hAnsi="Times New Roman" w:cs="Times New Roman"/>
          <w:b/>
          <w:color w:val="000000"/>
          <w:szCs w:val="21"/>
        </w:rPr>
        <w:t>Supplementary Figure 1 TCGA dataset analysis of CDK6 expression and its association with Wnt/β-catenin pathway-related genes in LUAD.</w:t>
      </w:r>
    </w:p>
    <w:p w14:paraId="67464A7D" w14:textId="780CA5C2" w:rsidR="00355F02" w:rsidRPr="000718DE" w:rsidRDefault="00355F02" w:rsidP="00355F02">
      <w:pPr>
        <w:spacing w:line="480" w:lineRule="auto"/>
        <w:rPr>
          <w:rFonts w:ascii="Times New Roman" w:hAnsi="Times New Roman" w:cs="Times New Roman"/>
          <w:color w:val="000000"/>
          <w:szCs w:val="21"/>
        </w:rPr>
      </w:pPr>
      <w:r w:rsidRPr="000718DE">
        <w:rPr>
          <w:rFonts w:ascii="Times New Roman" w:hAnsi="Times New Roman" w:cs="Times New Roman"/>
          <w:color w:val="000000"/>
          <w:szCs w:val="21"/>
        </w:rPr>
        <w:t>(</w:t>
      </w:r>
      <w:r w:rsidRPr="000718DE">
        <w:rPr>
          <w:rFonts w:ascii="Times New Roman" w:hAnsi="Times New Roman" w:cs="Times New Roman"/>
          <w:b/>
          <w:color w:val="000000"/>
          <w:szCs w:val="21"/>
        </w:rPr>
        <w:t>A</w:t>
      </w:r>
      <w:r w:rsidRPr="000718DE">
        <w:rPr>
          <w:rFonts w:ascii="Times New Roman" w:hAnsi="Times New Roman" w:cs="Times New Roman"/>
          <w:color w:val="000000"/>
          <w:szCs w:val="21"/>
        </w:rPr>
        <w:t>) Expression of CDK6 in paired normal and tumor tissues from the TCGA-LUAD cohort</w:t>
      </w:r>
      <w:r w:rsidRPr="000718DE">
        <w:rPr>
          <w:rFonts w:ascii="Times New Roman" w:hAnsi="Times New Roman" w:cs="Times New Roman" w:hint="eastAsia"/>
          <w:color w:val="000000"/>
          <w:szCs w:val="21"/>
        </w:rPr>
        <w:t>;</w:t>
      </w:r>
      <w:r w:rsidRPr="000718DE">
        <w:rPr>
          <w:rFonts w:ascii="Times New Roman" w:hAnsi="Times New Roman" w:cs="Times New Roman"/>
          <w:color w:val="000000"/>
          <w:szCs w:val="21"/>
        </w:rPr>
        <w:t xml:space="preserve"> (</w:t>
      </w:r>
      <w:r w:rsidRPr="000718DE">
        <w:rPr>
          <w:rFonts w:ascii="Times New Roman" w:hAnsi="Times New Roman" w:cs="Times New Roman"/>
          <w:b/>
          <w:color w:val="000000"/>
          <w:szCs w:val="21"/>
        </w:rPr>
        <w:t>B</w:t>
      </w:r>
      <w:r w:rsidRPr="000718DE">
        <w:rPr>
          <w:rFonts w:ascii="Times New Roman" w:hAnsi="Times New Roman" w:cs="Times New Roman"/>
          <w:color w:val="000000"/>
          <w:szCs w:val="21"/>
        </w:rPr>
        <w:t>)</w:t>
      </w:r>
      <w:r w:rsidRPr="000718DE">
        <w:rPr>
          <w:rFonts w:ascii="Times New Roman" w:hAnsi="Times New Roman" w:cs="Times New Roman"/>
          <w:b/>
          <w:color w:val="000000"/>
          <w:szCs w:val="21"/>
        </w:rPr>
        <w:t xml:space="preserve"> </w:t>
      </w:r>
      <w:r w:rsidRPr="000718DE">
        <w:rPr>
          <w:rFonts w:ascii="Times New Roman" w:hAnsi="Times New Roman" w:cs="Times New Roman"/>
          <w:color w:val="000000"/>
          <w:szCs w:val="21"/>
        </w:rPr>
        <w:t xml:space="preserve">Heatmap showing Pearson correlations between CDK6 and representative Wnt/β-catenin pathway-related genes in the TCGA-LUAD cohort. </w:t>
      </w:r>
      <w:r w:rsidRPr="000718DE">
        <w:rPr>
          <w:rFonts w:ascii="Times New Roman" w:hAnsi="Times New Roman" w:cs="Times New Roman"/>
          <w:color w:val="000000"/>
          <w:szCs w:val="21"/>
          <w:vertAlign w:val="superscript"/>
        </w:rPr>
        <w:t>*</w:t>
      </w:r>
      <w:r w:rsidRPr="000718DE">
        <w:rPr>
          <w:rFonts w:ascii="Times New Roman" w:hAnsi="Times New Roman" w:cs="Times New Roman"/>
          <w:i/>
          <w:color w:val="000000"/>
          <w:szCs w:val="21"/>
        </w:rPr>
        <w:t xml:space="preserve">p </w:t>
      </w:r>
      <w:r w:rsidRPr="000718DE">
        <w:rPr>
          <w:rFonts w:ascii="Times New Roman" w:hAnsi="Times New Roman" w:cs="Times New Roman"/>
          <w:color w:val="000000"/>
          <w:szCs w:val="21"/>
        </w:rPr>
        <w:t xml:space="preserve">&lt; 0.05, </w:t>
      </w:r>
      <w:r w:rsidRPr="000718DE">
        <w:rPr>
          <w:rFonts w:ascii="Times New Roman" w:hAnsi="Times New Roman" w:cs="Times New Roman"/>
          <w:color w:val="000000"/>
          <w:szCs w:val="21"/>
          <w:vertAlign w:val="superscript"/>
        </w:rPr>
        <w:t>**</w:t>
      </w:r>
      <w:r w:rsidRPr="000718DE">
        <w:rPr>
          <w:rFonts w:ascii="Times New Roman" w:hAnsi="Times New Roman" w:cs="Times New Roman"/>
          <w:i/>
          <w:color w:val="000000"/>
          <w:szCs w:val="21"/>
        </w:rPr>
        <w:t xml:space="preserve">p </w:t>
      </w:r>
      <w:r w:rsidRPr="000718DE">
        <w:rPr>
          <w:rFonts w:ascii="Times New Roman" w:hAnsi="Times New Roman" w:cs="Times New Roman"/>
          <w:color w:val="000000"/>
          <w:szCs w:val="21"/>
        </w:rPr>
        <w:t xml:space="preserve">&lt; 0.01, </w:t>
      </w:r>
      <w:r w:rsidRPr="000718DE">
        <w:rPr>
          <w:rFonts w:ascii="Times New Roman" w:hAnsi="Times New Roman" w:cs="Times New Roman"/>
          <w:color w:val="000000"/>
          <w:szCs w:val="21"/>
          <w:vertAlign w:val="superscript"/>
        </w:rPr>
        <w:t>***</w:t>
      </w:r>
      <w:r w:rsidRPr="000718DE">
        <w:rPr>
          <w:rFonts w:ascii="Times New Roman" w:hAnsi="Times New Roman" w:cs="Times New Roman"/>
          <w:i/>
          <w:color w:val="000000"/>
          <w:szCs w:val="21"/>
        </w:rPr>
        <w:t>p</w:t>
      </w:r>
      <w:r w:rsidRPr="000718DE">
        <w:rPr>
          <w:rFonts w:ascii="Times New Roman" w:hAnsi="Times New Roman" w:cs="Times New Roman"/>
          <w:color w:val="000000"/>
          <w:szCs w:val="21"/>
        </w:rPr>
        <w:t xml:space="preserve"> &lt; 0.001.</w:t>
      </w:r>
    </w:p>
    <w:p w14:paraId="183FEA81" w14:textId="67142769" w:rsidR="00355F02" w:rsidRPr="000718DE" w:rsidRDefault="00355F02" w:rsidP="00355F02">
      <w:pPr>
        <w:spacing w:line="480" w:lineRule="auto"/>
        <w:rPr>
          <w:rFonts w:ascii="Times New Roman" w:hAnsi="Times New Roman" w:cs="Times New Roman"/>
          <w:color w:val="000000"/>
          <w:szCs w:val="21"/>
        </w:rPr>
      </w:pPr>
    </w:p>
    <w:p w14:paraId="0B38CB1A" w14:textId="1B03F5FA" w:rsidR="00355F02" w:rsidRPr="000718DE" w:rsidRDefault="00355F02" w:rsidP="00355F02">
      <w:pPr>
        <w:spacing w:line="480" w:lineRule="auto"/>
        <w:jc w:val="center"/>
        <w:rPr>
          <w:rFonts w:ascii="Times New Roman" w:hAnsi="Times New Roman" w:cs="Times New Roman" w:hint="eastAsia"/>
          <w:color w:val="000000"/>
          <w:szCs w:val="21"/>
        </w:rPr>
      </w:pPr>
      <w:r w:rsidRPr="000718DE"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0" distR="0" wp14:anchorId="02002BE6" wp14:editId="72808B42">
            <wp:extent cx="5165677" cy="6792820"/>
            <wp:effectExtent l="0" t="0" r="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ementary Figure 2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7457" cy="6795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B0D0D" w14:textId="77777777" w:rsidR="00355F02" w:rsidRPr="000718DE" w:rsidRDefault="00355F02" w:rsidP="00355F02">
      <w:pPr>
        <w:spacing w:line="480" w:lineRule="auto"/>
        <w:rPr>
          <w:rFonts w:ascii="Times New Roman" w:hAnsi="Times New Roman" w:cs="Times New Roman"/>
          <w:b/>
          <w:color w:val="000000"/>
          <w:szCs w:val="21"/>
        </w:rPr>
      </w:pPr>
      <w:r w:rsidRPr="000718DE">
        <w:rPr>
          <w:rFonts w:ascii="Times New Roman" w:hAnsi="Times New Roman" w:cs="Times New Roman"/>
          <w:b/>
          <w:color w:val="000000"/>
          <w:szCs w:val="21"/>
        </w:rPr>
        <w:t>Supplementary Figure 2. Bioinformatic prediction of circCDK6-associated miRNAs and their potential Wnt pathway-related targets.</w:t>
      </w:r>
    </w:p>
    <w:p w14:paraId="10D0705C" w14:textId="77777777" w:rsidR="00355F02" w:rsidRPr="000718DE" w:rsidRDefault="00355F02" w:rsidP="00355F02">
      <w:pPr>
        <w:spacing w:line="480" w:lineRule="auto"/>
        <w:rPr>
          <w:rFonts w:ascii="Times New Roman" w:hAnsi="Times New Roman" w:cs="Times New Roman"/>
          <w:color w:val="000000"/>
          <w:szCs w:val="21"/>
        </w:rPr>
      </w:pPr>
      <w:r w:rsidRPr="000718DE">
        <w:rPr>
          <w:rFonts w:ascii="Times New Roman" w:hAnsi="Times New Roman" w:cs="Times New Roman"/>
          <w:color w:val="000000"/>
          <w:szCs w:val="21"/>
        </w:rPr>
        <w:t>(</w:t>
      </w:r>
      <w:r w:rsidRPr="000718DE">
        <w:rPr>
          <w:rFonts w:ascii="Times New Roman" w:hAnsi="Times New Roman" w:cs="Times New Roman"/>
          <w:b/>
          <w:color w:val="000000"/>
          <w:szCs w:val="21"/>
        </w:rPr>
        <w:t>A</w:t>
      </w:r>
      <w:r w:rsidRPr="000718DE">
        <w:rPr>
          <w:rFonts w:ascii="Times New Roman" w:hAnsi="Times New Roman" w:cs="Times New Roman"/>
          <w:color w:val="000000"/>
          <w:szCs w:val="21"/>
        </w:rPr>
        <w:t xml:space="preserve">) Heatmap of predicted interactions between circCDK6-associated candidate miRNAs and Wnt pathway genes. Candidate miRNAs predicted to bind circCDK6 are shown on the y-axis, and Wnt pathway-related genes are shown on the x-axis. The color bar represents the minimum cumulative </w:t>
      </w:r>
      <w:r w:rsidRPr="000718DE">
        <w:rPr>
          <w:rFonts w:ascii="Times New Roman" w:hAnsi="Times New Roman" w:cs="Times New Roman"/>
          <w:color w:val="000000"/>
          <w:szCs w:val="21"/>
        </w:rPr>
        <w:lastRenderedPageBreak/>
        <w:t>weighted context++ score (minimum CWCS). More negative values, shown in darker colors, indicate stronger predicted targeting efficacy, whereas values closer to zero, shown in lighter colors, indicate weaker predicted interactions.</w:t>
      </w:r>
      <w:r w:rsidRPr="000718DE">
        <w:rPr>
          <w:rFonts w:ascii="Times New Roman" w:hAnsi="Times New Roman" w:cs="Times New Roman" w:hint="eastAsia"/>
          <w:color w:val="000000"/>
          <w:szCs w:val="21"/>
        </w:rPr>
        <w:t xml:space="preserve"> </w:t>
      </w:r>
      <w:r w:rsidRPr="000718DE">
        <w:rPr>
          <w:rFonts w:ascii="Times New Roman" w:hAnsi="Times New Roman" w:cs="Times New Roman"/>
          <w:color w:val="000000"/>
          <w:szCs w:val="21"/>
        </w:rPr>
        <w:t>(</w:t>
      </w:r>
      <w:r w:rsidRPr="000718DE">
        <w:rPr>
          <w:rFonts w:ascii="Times New Roman" w:hAnsi="Times New Roman" w:cs="Times New Roman"/>
          <w:b/>
          <w:color w:val="000000"/>
          <w:szCs w:val="21"/>
        </w:rPr>
        <w:t>B</w:t>
      </w:r>
      <w:r w:rsidRPr="000718DE">
        <w:rPr>
          <w:rFonts w:ascii="Times New Roman" w:hAnsi="Times New Roman" w:cs="Times New Roman"/>
          <w:color w:val="000000"/>
          <w:szCs w:val="21"/>
        </w:rPr>
        <w:t>) Predicted circCDK6-miRNA-Wnt regulatory network. circCDK6 is connected to candidate miRNAs, which in turn are linked to predicted Wnt pathway-related target genes. Lines indicate predicted regulatory relationships.</w:t>
      </w:r>
    </w:p>
    <w:p w14:paraId="3D0D9D70" w14:textId="77777777" w:rsidR="00355F02" w:rsidRPr="000718DE" w:rsidRDefault="00355F02" w:rsidP="00355F02">
      <w:pPr>
        <w:jc w:val="center"/>
        <w:rPr>
          <w:rFonts w:ascii="Times New Roman" w:hAnsi="Times New Roman" w:cs="Times New Roman" w:hint="eastAsia"/>
          <w:szCs w:val="21"/>
        </w:rPr>
      </w:pPr>
    </w:p>
    <w:sectPr w:rsidR="00355F02" w:rsidRPr="000718D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374451" w14:textId="77777777" w:rsidR="00FB0CE7" w:rsidRDefault="00FB0CE7" w:rsidP="00355F02">
      <w:r>
        <w:separator/>
      </w:r>
    </w:p>
  </w:endnote>
  <w:endnote w:type="continuationSeparator" w:id="0">
    <w:p w14:paraId="52D5896D" w14:textId="77777777" w:rsidR="00FB0CE7" w:rsidRDefault="00FB0CE7" w:rsidP="00355F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9372E9" w14:textId="77777777" w:rsidR="00FB0CE7" w:rsidRDefault="00FB0CE7" w:rsidP="00355F02">
      <w:r>
        <w:separator/>
      </w:r>
    </w:p>
  </w:footnote>
  <w:footnote w:type="continuationSeparator" w:id="0">
    <w:p w14:paraId="0D68F23F" w14:textId="77777777" w:rsidR="00FB0CE7" w:rsidRDefault="00FB0CE7" w:rsidP="00355F0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2221"/>
    <w:rsid w:val="000718DE"/>
    <w:rsid w:val="00202221"/>
    <w:rsid w:val="00247525"/>
    <w:rsid w:val="0025270B"/>
    <w:rsid w:val="00355F02"/>
    <w:rsid w:val="00430FD5"/>
    <w:rsid w:val="0053038E"/>
    <w:rsid w:val="005320D8"/>
    <w:rsid w:val="00590326"/>
    <w:rsid w:val="005B7615"/>
    <w:rsid w:val="00694623"/>
    <w:rsid w:val="008A7B20"/>
    <w:rsid w:val="009843AE"/>
    <w:rsid w:val="00AA2832"/>
    <w:rsid w:val="00B2770D"/>
    <w:rsid w:val="00CB5929"/>
    <w:rsid w:val="00E857D3"/>
    <w:rsid w:val="00EC5318"/>
    <w:rsid w:val="00F418E1"/>
    <w:rsid w:val="00F95635"/>
    <w:rsid w:val="00FB0CE7"/>
    <w:rsid w:val="00FC2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4098A9"/>
  <w15:chartTrackingRefBased/>
  <w15:docId w15:val="{EEA37B85-01BC-45D4-9196-7C8959267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a3">
    <w:name w:val="三线"/>
    <w:basedOn w:val="a1"/>
    <w:rsid w:val="00EC5318"/>
    <w:rPr>
      <w:rFonts w:ascii="Times New Roman" w:eastAsia="宋体" w:hAnsi="Times New Roman" w:cs="Times New Roman"/>
      <w:kern w:val="0"/>
      <w:sz w:val="20"/>
      <w:szCs w:val="20"/>
    </w:rPr>
    <w:tblPr>
      <w:tblInd w:w="0" w:type="nil"/>
      <w:tblBorders>
        <w:top w:val="single" w:sz="12" w:space="0" w:color="auto"/>
        <w:bottom w:val="single" w:sz="12" w:space="0" w:color="auto"/>
      </w:tblBorders>
    </w:tblPr>
    <w:tblStylePr w:type="firstRow">
      <w:tblPr/>
      <w:tcPr>
        <w:tcBorders>
          <w:bottom w:val="single" w:sz="4" w:space="0" w:color="auto"/>
        </w:tcBorders>
      </w:tcPr>
    </w:tblStylePr>
  </w:style>
  <w:style w:type="paragraph" w:styleId="a4">
    <w:name w:val="header"/>
    <w:basedOn w:val="a"/>
    <w:link w:val="a5"/>
    <w:uiPriority w:val="99"/>
    <w:unhideWhenUsed/>
    <w:rsid w:val="00355F0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355F02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355F0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355F02"/>
    <w:rPr>
      <w:sz w:val="18"/>
      <w:szCs w:val="18"/>
    </w:rPr>
  </w:style>
  <w:style w:type="paragraph" w:styleId="a8">
    <w:name w:val="annotation text"/>
    <w:basedOn w:val="a"/>
    <w:link w:val="a9"/>
    <w:uiPriority w:val="99"/>
    <w:unhideWhenUsed/>
    <w:rsid w:val="00355F02"/>
    <w:pPr>
      <w:jc w:val="left"/>
    </w:pPr>
    <w:rPr>
      <w:sz w:val="20"/>
      <w:szCs w:val="20"/>
    </w:rPr>
  </w:style>
  <w:style w:type="character" w:customStyle="1" w:styleId="a9">
    <w:name w:val="批注文字 字符"/>
    <w:basedOn w:val="a0"/>
    <w:link w:val="a8"/>
    <w:uiPriority w:val="99"/>
    <w:rsid w:val="00355F02"/>
    <w:rPr>
      <w:sz w:val="20"/>
      <w:szCs w:val="20"/>
    </w:rPr>
  </w:style>
  <w:style w:type="character" w:styleId="aa">
    <w:name w:val="annotation reference"/>
    <w:basedOn w:val="a0"/>
    <w:uiPriority w:val="99"/>
    <w:semiHidden/>
    <w:unhideWhenUsed/>
    <w:rsid w:val="00355F02"/>
    <w:rPr>
      <w:sz w:val="16"/>
      <w:szCs w:val="16"/>
    </w:rPr>
  </w:style>
  <w:style w:type="paragraph" w:styleId="ab">
    <w:name w:val="Balloon Text"/>
    <w:basedOn w:val="a"/>
    <w:link w:val="ac"/>
    <w:uiPriority w:val="99"/>
    <w:semiHidden/>
    <w:unhideWhenUsed/>
    <w:rsid w:val="00355F02"/>
    <w:rPr>
      <w:sz w:val="18"/>
      <w:szCs w:val="18"/>
    </w:rPr>
  </w:style>
  <w:style w:type="character" w:customStyle="1" w:styleId="ac">
    <w:name w:val="批注框文本 字符"/>
    <w:basedOn w:val="a0"/>
    <w:link w:val="ab"/>
    <w:uiPriority w:val="99"/>
    <w:semiHidden/>
    <w:rsid w:val="00355F0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3160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268</Words>
  <Characters>1529</Characters>
  <Application>Microsoft Office Word</Application>
  <DocSecurity>0</DocSecurity>
  <Lines>12</Lines>
  <Paragraphs>3</Paragraphs>
  <ScaleCrop>false</ScaleCrop>
  <Company/>
  <LinksUpToDate>false</LinksUpToDate>
  <CharactersWithSpaces>1794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2026-04-03T06:59:00Z</dcterms:created>
  <dcterms:modified xsi:type="dcterms:W3CDTF">2026-04-03T07:02:00Z</dcterms:modified>
</cp:coreProperties>
</file>